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F1" w:rsidRPr="00E17AF1" w:rsidRDefault="00E17AF1" w:rsidP="00E17AF1">
      <w:pPr>
        <w:jc w:val="right"/>
        <w:rPr>
          <w:rFonts w:eastAsia="Times New Roman" w:cs="Times New Roman"/>
          <w:b/>
          <w:sz w:val="32"/>
          <w:szCs w:val="32"/>
        </w:rPr>
      </w:pPr>
      <w:r w:rsidRPr="00E17AF1">
        <w:rPr>
          <w:rFonts w:eastAsia="Times New Roman" w:cs="Times New Roman"/>
          <w:b/>
          <w:sz w:val="32"/>
          <w:szCs w:val="32"/>
        </w:rPr>
        <w:t>APPENDIX 2</w:t>
      </w:r>
    </w:p>
    <w:p w:rsidR="00E17AF1" w:rsidRDefault="00E17AF1" w:rsidP="00E17AF1">
      <w:pPr>
        <w:jc w:val="center"/>
        <w:rPr>
          <w:rFonts w:eastAsia="Times New Roman" w:cs="Times New Roman"/>
          <w:b/>
          <w:sz w:val="32"/>
          <w:szCs w:val="32"/>
        </w:rPr>
      </w:pPr>
      <w:r w:rsidRPr="00E17AF1">
        <w:rPr>
          <w:rFonts w:eastAsia="Times New Roman" w:cs="Times New Roman"/>
          <w:b/>
          <w:sz w:val="32"/>
          <w:szCs w:val="32"/>
        </w:rPr>
        <w:t>Prudential Indicators</w:t>
      </w:r>
    </w:p>
    <w:p w:rsidR="00E17AF1" w:rsidRPr="00E17AF1" w:rsidRDefault="00E17AF1" w:rsidP="00E17AF1">
      <w:pPr>
        <w:jc w:val="center"/>
        <w:rPr>
          <w:rFonts w:eastAsia="Times New Roman" w:cs="Times New Roman"/>
          <w:b/>
          <w:sz w:val="32"/>
          <w:szCs w:val="32"/>
        </w:rPr>
      </w:pPr>
    </w:p>
    <w:p w:rsidR="00E17AF1" w:rsidRPr="00E17AF1" w:rsidRDefault="00E17AF1" w:rsidP="00E17AF1">
      <w:pPr>
        <w:keepNext/>
        <w:ind w:left="360" w:hanging="360"/>
        <w:outlineLvl w:val="0"/>
        <w:rPr>
          <w:rFonts w:eastAsia="Times New Roman" w:cs="Times New Roman"/>
          <w:b/>
          <w:bCs/>
        </w:rPr>
      </w:pPr>
      <w:r w:rsidRPr="00E17AF1">
        <w:rPr>
          <w:rFonts w:eastAsia="Times New Roman" w:cs="Times New Roman"/>
          <w:b/>
          <w:bCs/>
        </w:rPr>
        <w:t>A.</w:t>
      </w:r>
      <w:r w:rsidRPr="00E17AF1">
        <w:rPr>
          <w:rFonts w:eastAsia="Times New Roman" w:cs="Times New Roman"/>
          <w:b/>
          <w:bCs/>
        </w:rPr>
        <w:tab/>
        <w:t xml:space="preserve">Capital Expenditure Plans </w:t>
      </w:r>
    </w:p>
    <w:p w:rsidR="00E17AF1" w:rsidRPr="00E17AF1" w:rsidRDefault="00E17AF1" w:rsidP="00E17AF1">
      <w:pPr>
        <w:numPr>
          <w:ilvl w:val="0"/>
          <w:numId w:val="1"/>
        </w:numPr>
        <w:rPr>
          <w:rFonts w:eastAsia="Times New Roman" w:cs="Times New Roman"/>
        </w:rPr>
      </w:pPr>
      <w:r w:rsidRPr="00E17AF1">
        <w:rPr>
          <w:rFonts w:eastAsia="Times New Roman" w:cs="Times New Roman"/>
        </w:rPr>
        <w:t>The Council’s capital expenditure plans are the key driver of treasury management activity.  Estimates of capital expenditure for the period 2016/17 to 2018/19 based on the Council’s draft Capital Programme are summarised below and this forms the first of the prudential indicators.  The revenue consequences of associated borrowing and any on-going maintenance costs are accommodated within the Council’s revenue budgets.</w:t>
      </w:r>
    </w:p>
    <w:p w:rsidR="00E17AF1" w:rsidRPr="00E17AF1" w:rsidRDefault="00E17AF1" w:rsidP="00E17AF1">
      <w:pPr>
        <w:ind w:left="360" w:hanging="360"/>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Capital expenditure can be paid for immediately, by applying capital resources such as capital receipts, capital grants, external funding or revenue contributions, but if these resources are insufficient any residual expenditure will be covered by Prudential Borrowing and will add to the Council’s borrowing need, or Capital Financing Requirement (CFR).</w:t>
      </w:r>
    </w:p>
    <w:p w:rsidR="00E17AF1" w:rsidRPr="00E17AF1" w:rsidRDefault="00E17AF1" w:rsidP="00E17AF1">
      <w:pPr>
        <w:ind w:left="360" w:hanging="360"/>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Estimates of resources such as capital receipts may be subject to uncertainty i.e. anticipated asset sales may be postponed or reduced due to changes in the property market or planning issues.</w:t>
      </w:r>
    </w:p>
    <w:p w:rsidR="00E17AF1" w:rsidRPr="00E17AF1" w:rsidRDefault="00E17AF1" w:rsidP="00E17AF1">
      <w:pPr>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 xml:space="preserve">Elsewhere on the agenda the draft Capital Programme is recommended for approval. The table below summarises the proposed expenditure and how it will be financed.  Any shortfall of financing results in a borrowing need.  </w:t>
      </w:r>
    </w:p>
    <w:p w:rsidR="00E17AF1" w:rsidRPr="00E17AF1" w:rsidRDefault="00E17AF1" w:rsidP="00E17AF1">
      <w:pPr>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1:-</w:t>
      </w:r>
      <w:r w:rsidR="00DB12D6">
        <w:rPr>
          <w:rFonts w:eastAsia="Times New Roman" w:cs="Times New Roman"/>
          <w:b/>
        </w:rPr>
        <w:t xml:space="preserve"> </w:t>
      </w:r>
      <w:bookmarkStart w:id="0" w:name="_GoBack"/>
      <w:bookmarkEnd w:id="0"/>
      <w:r w:rsidRPr="00E17AF1">
        <w:rPr>
          <w:rFonts w:eastAsia="Times New Roman" w:cs="Times New Roman"/>
          <w:b/>
        </w:rPr>
        <w:t xml:space="preserve">Capital Expenditure and Financing </w:t>
      </w:r>
    </w:p>
    <w:p w:rsidR="00E17AF1" w:rsidRPr="00E17AF1" w:rsidRDefault="00E17AF1" w:rsidP="00E17AF1">
      <w:pPr>
        <w:rPr>
          <w:rFonts w:eastAsia="Times New Roman" w:cs="Times New Roman"/>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4" w:space="0" w:color="auto"/>
              <w:left w:val="single" w:sz="4"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4"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Expenditure</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26,750.1</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25,428.3</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18,035.8</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10,097.8</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7,441.0</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HRA</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21,961.8</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17,235.4</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22,168.0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24,452.0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17,858.0</w:t>
            </w:r>
          </w:p>
        </w:tc>
      </w:tr>
      <w:tr w:rsidR="00E17AF1" w:rsidRPr="00E17AF1" w:rsidTr="00F30835">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 expenditure</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48,711.9</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42,663.7</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40,203.8</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34,549.8</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25,299.0</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Financed by:</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Developer Contributions</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834.6</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1,213.9</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3,832.5</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2,567.0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200.0</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Capital Grants</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1,759.7</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4,697.9</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501.0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501.0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501.0</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Capital Receipts</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17,762.9</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224.6</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9,365.0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2,229.0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2,350.0</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xml:space="preserve">Revenue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19,650.6</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19,432.3</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1,944.3</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14,720.8</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4,798.0</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Major Repairs Reserve</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8,704.2</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6,858.0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20,105.0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4,760.0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6,157.0</w:t>
            </w:r>
          </w:p>
        </w:tc>
      </w:tr>
      <w:tr w:rsidR="00E17AF1" w:rsidRPr="00E17AF1" w:rsidTr="00F30835">
        <w:trPr>
          <w:trHeight w:val="300"/>
        </w:trPr>
        <w:tc>
          <w:tcPr>
            <w:tcW w:w="2920" w:type="dxa"/>
            <w:tcBorders>
              <w:top w:val="single" w:sz="4" w:space="0" w:color="auto"/>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Sub Total</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48,711.9</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32,426.7</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35,747.8</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24,777.8</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14,006.0</w:t>
            </w:r>
          </w:p>
        </w:tc>
      </w:tr>
      <w:tr w:rsidR="00E17AF1" w:rsidRPr="00E17AF1" w:rsidTr="00F30835">
        <w:trPr>
          <w:trHeight w:val="300"/>
        </w:trPr>
        <w:tc>
          <w:tcPr>
            <w:tcW w:w="2920" w:type="dxa"/>
            <w:tcBorders>
              <w:top w:val="nil"/>
              <w:left w:val="single" w:sz="4" w:space="0" w:color="auto"/>
              <w:bottom w:val="nil"/>
              <w:right w:val="single" w:sz="4" w:space="0" w:color="auto"/>
            </w:tcBorders>
            <w:shd w:val="clear" w:color="000000" w:fill="D9D9D9"/>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Prudential Borrowing</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10,237.0</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4,456.0</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9,772.0</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11,293.0</w:t>
            </w:r>
          </w:p>
        </w:tc>
      </w:tr>
      <w:tr w:rsidR="00E17AF1" w:rsidRPr="00E17AF1" w:rsidTr="00F30835">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 funding</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48,711.9</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42,663.7</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40,203.8</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34,549.8</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25,299.0</w:t>
            </w:r>
          </w:p>
        </w:tc>
      </w:tr>
    </w:tbl>
    <w:p w:rsidR="00E17AF1" w:rsidRPr="00E17AF1" w:rsidRDefault="00E17AF1" w:rsidP="00E17AF1">
      <w:pPr>
        <w:rPr>
          <w:rFonts w:eastAsia="Times New Roman" w:cs="Times New Roman"/>
        </w:rPr>
      </w:pPr>
    </w:p>
    <w:p w:rsidR="00E17AF1" w:rsidRDefault="00E17AF1" w:rsidP="00E17AF1">
      <w:pPr>
        <w:rPr>
          <w:rFonts w:eastAsia="Times New Roman" w:cs="Times New Roman"/>
        </w:rPr>
      </w:pPr>
    </w:p>
    <w:p w:rsidR="00E17AF1" w:rsidRPr="00E17AF1" w:rsidRDefault="00E17AF1" w:rsidP="00E17AF1">
      <w:pPr>
        <w:rPr>
          <w:rFonts w:eastAsia="Times New Roman" w:cs="Times New Roman"/>
        </w:rPr>
      </w:pPr>
    </w:p>
    <w:p w:rsidR="00E17AF1" w:rsidRPr="00E17AF1" w:rsidRDefault="00E17AF1" w:rsidP="00E17AF1">
      <w:pPr>
        <w:numPr>
          <w:ilvl w:val="0"/>
          <w:numId w:val="2"/>
        </w:numPr>
        <w:rPr>
          <w:rFonts w:eastAsia="Times New Roman" w:cs="Times New Roman"/>
        </w:rPr>
      </w:pPr>
      <w:r w:rsidRPr="00E17AF1">
        <w:rPr>
          <w:rFonts w:eastAsia="Times New Roman" w:cs="Times New Roman"/>
          <w:b/>
        </w:rPr>
        <w:lastRenderedPageBreak/>
        <w:t>Capital Financing Requirement (CFR).</w:t>
      </w:r>
      <w:r w:rsidRPr="00E17AF1">
        <w:rPr>
          <w:rFonts w:eastAsia="Times New Roman" w:cs="Times New Roman"/>
        </w:rPr>
        <w:t xml:space="preserve"> </w:t>
      </w:r>
    </w:p>
    <w:p w:rsidR="00E17AF1" w:rsidRPr="00E17AF1" w:rsidRDefault="00E17AF1" w:rsidP="00E17AF1">
      <w:pPr>
        <w:numPr>
          <w:ilvl w:val="0"/>
          <w:numId w:val="1"/>
        </w:numPr>
        <w:rPr>
          <w:rFonts w:eastAsia="Times New Roman" w:cs="Times New Roman"/>
        </w:rPr>
      </w:pPr>
      <w:r w:rsidRPr="00E17AF1">
        <w:rPr>
          <w:rFonts w:eastAsia="Times New Roman" w:cs="Times New Roman"/>
        </w:rPr>
        <w:t xml:space="preserve">The CFR is the total outstanding capital expenditure which has not yet been paid for from either revenue or capital resources.  It is essentially a measure of the Council’s underlying need to borrow.  </w:t>
      </w:r>
    </w:p>
    <w:p w:rsidR="00E17AF1" w:rsidRPr="00E17AF1" w:rsidRDefault="00E17AF1" w:rsidP="00E17AF1">
      <w:pPr>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The CFR also includes other long term liabilities (e.g. finance leases).  Whilst these increase the CFR, and therefore the Council’s borrowing requirement, these types of scheme include a borrowing facility and so the Council is not required to separately borrow for these schemes.</w:t>
      </w:r>
    </w:p>
    <w:p w:rsidR="00E17AF1" w:rsidRPr="00E17AF1" w:rsidRDefault="00E17AF1" w:rsidP="00E17AF1">
      <w:pPr>
        <w:ind w:left="360" w:hanging="360"/>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Table 2:- Capital Financing Requirement</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1,257</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11,232</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15,415</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18,320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22,878</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HRA</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199,384</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199,384</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199,384</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205,896</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212,150</w:t>
            </w:r>
          </w:p>
        </w:tc>
      </w:tr>
      <w:tr w:rsidR="00E17AF1" w:rsidRPr="00E17AF1" w:rsidTr="00F30835">
        <w:trPr>
          <w:trHeight w:val="315"/>
        </w:trPr>
        <w:tc>
          <w:tcPr>
            <w:tcW w:w="2920" w:type="dxa"/>
            <w:tcBorders>
              <w:top w:val="nil"/>
              <w:left w:val="single" w:sz="8" w:space="0" w:color="auto"/>
              <w:bottom w:val="single" w:sz="8" w:space="0" w:color="auto"/>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single" w:sz="4" w:space="0" w:color="auto"/>
              <w:left w:val="nil"/>
              <w:bottom w:val="single" w:sz="8" w:space="0" w:color="auto"/>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200,641</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210,616</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214,799</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224,216</w:t>
            </w:r>
          </w:p>
        </w:tc>
        <w:tc>
          <w:tcPr>
            <w:tcW w:w="134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235,028</w:t>
            </w:r>
          </w:p>
        </w:tc>
      </w:tr>
      <w:tr w:rsidR="00E17AF1" w:rsidRPr="00E17AF1" w:rsidTr="00F30835">
        <w:trPr>
          <w:trHeight w:val="315"/>
        </w:trPr>
        <w:tc>
          <w:tcPr>
            <w:tcW w:w="2920" w:type="dxa"/>
            <w:tcBorders>
              <w:top w:val="nil"/>
              <w:left w:val="nil"/>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r>
      <w:tr w:rsidR="00E17AF1" w:rsidRPr="00E17AF1" w:rsidTr="00F30835">
        <w:trPr>
          <w:trHeight w:val="315"/>
        </w:trPr>
        <w:tc>
          <w:tcPr>
            <w:tcW w:w="2920" w:type="dxa"/>
            <w:tcBorders>
              <w:top w:val="single" w:sz="8" w:space="0" w:color="auto"/>
              <w:left w:val="single" w:sz="8" w:space="0" w:color="auto"/>
              <w:bottom w:val="single" w:sz="8" w:space="0" w:color="auto"/>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Movement in CFR</w:t>
            </w:r>
          </w:p>
        </w:tc>
        <w:tc>
          <w:tcPr>
            <w:tcW w:w="13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-19,910</w:t>
            </w:r>
          </w:p>
        </w:tc>
        <w:tc>
          <w:tcPr>
            <w:tcW w:w="1340" w:type="dxa"/>
            <w:tcBorders>
              <w:top w:val="single" w:sz="8" w:space="0" w:color="auto"/>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9,975</w:t>
            </w:r>
          </w:p>
        </w:tc>
        <w:tc>
          <w:tcPr>
            <w:tcW w:w="1340" w:type="dxa"/>
            <w:tcBorders>
              <w:top w:val="single" w:sz="8" w:space="0" w:color="auto"/>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4,183</w:t>
            </w:r>
          </w:p>
        </w:tc>
        <w:tc>
          <w:tcPr>
            <w:tcW w:w="1340" w:type="dxa"/>
            <w:tcBorders>
              <w:top w:val="single" w:sz="8" w:space="0" w:color="auto"/>
              <w:left w:val="nil"/>
              <w:bottom w:val="single" w:sz="8" w:space="0" w:color="auto"/>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9,417</w:t>
            </w:r>
          </w:p>
        </w:tc>
        <w:tc>
          <w:tcPr>
            <w:tcW w:w="134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10,812</w:t>
            </w:r>
          </w:p>
        </w:tc>
      </w:tr>
    </w:tbl>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C. Ratio of Financing Costs to the Net Revenue Stream</w:t>
      </w:r>
    </w:p>
    <w:p w:rsidR="00E17AF1" w:rsidRPr="00E17AF1" w:rsidRDefault="00E17AF1" w:rsidP="00E17AF1">
      <w:pPr>
        <w:numPr>
          <w:ilvl w:val="0"/>
          <w:numId w:val="1"/>
        </w:numPr>
        <w:rPr>
          <w:rFonts w:eastAsia="Times New Roman" w:cs="Times New Roman"/>
        </w:rPr>
      </w:pPr>
      <w:r w:rsidRPr="00E17AF1">
        <w:rPr>
          <w:rFonts w:eastAsia="Times New Roman" w:cs="Times New Roman"/>
        </w:rPr>
        <w:t>This indicator represents the estimate of the ratio of financing costs to the net revenue stream for HRA and General Fund</w:t>
      </w:r>
      <w:r w:rsidRPr="00E17AF1">
        <w:rPr>
          <w:rFonts w:eastAsia="Times New Roman" w:cs="Times New Roman"/>
          <w:sz w:val="16"/>
          <w:szCs w:val="16"/>
        </w:rPr>
        <w:t>.</w:t>
      </w:r>
    </w:p>
    <w:p w:rsidR="00E17AF1" w:rsidRPr="00E17AF1" w:rsidRDefault="00E17AF1" w:rsidP="00E17AF1">
      <w:pPr>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3:- Ratio of financing costs to net revenue stream</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2013/14</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r>
      <w:tr w:rsidR="00E17AF1" w:rsidRPr="00E17AF1" w:rsidTr="00F30835">
        <w:trPr>
          <w:trHeight w:val="300"/>
        </w:trPr>
        <w:tc>
          <w:tcPr>
            <w:tcW w:w="2920"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Revised</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r>
      <w:tr w:rsidR="00E17AF1" w:rsidRPr="00E17AF1" w:rsidTr="00F30835">
        <w:trPr>
          <w:trHeight w:val="300"/>
        </w:trPr>
        <w:tc>
          <w:tcPr>
            <w:tcW w:w="2920"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color w:val="993366"/>
                <w:sz w:val="22"/>
                <w:szCs w:val="22"/>
                <w:lang w:eastAsia="en-GB"/>
              </w:rPr>
            </w:pPr>
            <w:r w:rsidRPr="00E17AF1">
              <w:rPr>
                <w:rFonts w:eastAsia="Times New Roman"/>
                <w:b/>
                <w:bCs/>
                <w:color w:val="993366"/>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F30835">
        <w:trPr>
          <w:trHeight w:val="300"/>
        </w:trPr>
        <w:tc>
          <w:tcPr>
            <w:tcW w:w="2920" w:type="dxa"/>
            <w:tcBorders>
              <w:top w:val="single" w:sz="4" w:space="0" w:color="auto"/>
              <w:left w:val="single" w:sz="8"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-7.2%</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-8.7%</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-9.0%</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-9.4%</w:t>
            </w:r>
          </w:p>
        </w:tc>
        <w:tc>
          <w:tcPr>
            <w:tcW w:w="1340" w:type="dxa"/>
            <w:tcBorders>
              <w:top w:val="single" w:sz="4" w:space="0" w:color="auto"/>
              <w:left w:val="nil"/>
              <w:bottom w:val="nil"/>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-9.1%</w:t>
            </w:r>
          </w:p>
        </w:tc>
      </w:tr>
      <w:tr w:rsidR="00E17AF1" w:rsidRPr="00E17AF1" w:rsidTr="00F30835">
        <w:trPr>
          <w:trHeight w:val="315"/>
        </w:trPr>
        <w:tc>
          <w:tcPr>
            <w:tcW w:w="2920" w:type="dxa"/>
            <w:tcBorders>
              <w:top w:val="nil"/>
              <w:left w:val="single" w:sz="8" w:space="0" w:color="auto"/>
              <w:bottom w:val="single" w:sz="8" w:space="0" w:color="auto"/>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Housing Revenue Account</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17.7%</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16.9%</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17.3%</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18.4%</w:t>
            </w:r>
          </w:p>
        </w:tc>
        <w:tc>
          <w:tcPr>
            <w:tcW w:w="1340" w:type="dxa"/>
            <w:tcBorders>
              <w:top w:val="nil"/>
              <w:left w:val="nil"/>
              <w:bottom w:val="single" w:sz="8" w:space="0" w:color="auto"/>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18.6%</w:t>
            </w:r>
          </w:p>
        </w:tc>
      </w:tr>
    </w:tbl>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D. Incremental Impact of Capital Investment Decisions on Council Tax and Rents</w:t>
      </w:r>
    </w:p>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Council Tax</w:t>
      </w:r>
    </w:p>
    <w:p w:rsidR="00E17AF1" w:rsidRPr="00E17AF1" w:rsidRDefault="00E17AF1" w:rsidP="00E17AF1">
      <w:pPr>
        <w:numPr>
          <w:ilvl w:val="0"/>
          <w:numId w:val="1"/>
        </w:numPr>
        <w:ind w:left="993" w:hanging="426"/>
        <w:rPr>
          <w:rFonts w:eastAsia="Times New Roman" w:cs="Times New Roman"/>
        </w:rPr>
      </w:pPr>
      <w:r w:rsidRPr="00E17AF1">
        <w:rPr>
          <w:rFonts w:eastAsia="Times New Roman" w:cs="Times New Roman"/>
        </w:rPr>
        <w:t xml:space="preserve">The estimate of the incremental impact of capital investment decisions on the Council Tax is shown below; it illustrates the impact of capital investment decisions on the Band D Council Tax. </w:t>
      </w:r>
    </w:p>
    <w:p w:rsidR="00E17AF1" w:rsidRPr="00E17AF1" w:rsidRDefault="00E17AF1" w:rsidP="00E17AF1">
      <w:pPr>
        <w:ind w:left="567"/>
        <w:rPr>
          <w:rFonts w:eastAsia="Times New Roman" w:cs="Times New Roman"/>
        </w:rPr>
      </w:pPr>
    </w:p>
    <w:p w:rsidR="00E17AF1" w:rsidRPr="00E17AF1" w:rsidRDefault="00E17AF1" w:rsidP="00E17AF1">
      <w:pPr>
        <w:numPr>
          <w:ilvl w:val="0"/>
          <w:numId w:val="1"/>
        </w:numPr>
        <w:tabs>
          <w:tab w:val="left" w:pos="993"/>
        </w:tabs>
        <w:ind w:left="993" w:hanging="426"/>
        <w:rPr>
          <w:rFonts w:eastAsia="Times New Roman" w:cs="Times New Roman"/>
        </w:rPr>
      </w:pPr>
      <w:r w:rsidRPr="00E17AF1">
        <w:rPr>
          <w:rFonts w:eastAsia="Times New Roman" w:cs="Times New Roman"/>
        </w:rPr>
        <w:t>The figures in Table 4 below have been calculated by looking at those schemes that are uncommitted in the current Capital Programme and looking at the impact they will have on Council Tax after taking into account capital receipts, grants and revenue contributions</w:t>
      </w:r>
    </w:p>
    <w:p w:rsidR="00E17AF1" w:rsidRPr="00E17AF1" w:rsidRDefault="00E17AF1" w:rsidP="00E17AF1">
      <w:pPr>
        <w:ind w:left="993" w:hanging="426"/>
        <w:rPr>
          <w:rFonts w:eastAsia="Times New Roman" w:cs="Times New Roman"/>
        </w:rPr>
      </w:pPr>
    </w:p>
    <w:p w:rsidR="00E17AF1" w:rsidRPr="00E17AF1" w:rsidRDefault="00E17AF1" w:rsidP="00E17AF1">
      <w:pPr>
        <w:numPr>
          <w:ilvl w:val="0"/>
          <w:numId w:val="1"/>
        </w:numPr>
        <w:tabs>
          <w:tab w:val="left" w:pos="993"/>
        </w:tabs>
        <w:ind w:left="993" w:hanging="426"/>
        <w:rPr>
          <w:rFonts w:eastAsia="Times New Roman" w:cs="Times New Roman"/>
        </w:rPr>
      </w:pPr>
      <w:r w:rsidRPr="00E17AF1">
        <w:rPr>
          <w:rFonts w:eastAsia="Times New Roman" w:cs="Times New Roman"/>
        </w:rPr>
        <w:lastRenderedPageBreak/>
        <w:t xml:space="preserve">The Council will not enter into any uncommitted capital scheme until the source of funding is confirmed, e.g. Capital receipts, grants, S106 or prudential borrowing.  This will ensure we can avoid any unplanned revenue consequences as a result of capital expenditure. </w:t>
      </w:r>
    </w:p>
    <w:p w:rsidR="00E17AF1" w:rsidRPr="00E17AF1" w:rsidRDefault="00E17AF1" w:rsidP="00E17AF1">
      <w:pPr>
        <w:ind w:left="180"/>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4:- Potential Impact of Capital Expenditure on Council Tax</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single" w:sz="4" w:space="0" w:color="auto"/>
            </w:tcBorders>
            <w:shd w:val="clear" w:color="000000" w:fill="BFBFBF"/>
            <w:noWrap/>
            <w:vAlign w:val="bottom"/>
            <w:hideMark/>
          </w:tcPr>
          <w:p w:rsidR="00E17AF1" w:rsidRPr="00E17AF1" w:rsidRDefault="00E17AF1" w:rsidP="00E17AF1">
            <w:pPr>
              <w:rPr>
                <w:rFonts w:ascii="Calibri" w:eastAsia="Times New Roman" w:hAnsi="Calibri" w:cs="Calibri"/>
                <w:color w:val="000000"/>
                <w:sz w:val="22"/>
                <w:szCs w:val="22"/>
                <w:lang w:eastAsia="en-GB"/>
              </w:rPr>
            </w:pPr>
            <w:r w:rsidRPr="00E17AF1">
              <w:rPr>
                <w:rFonts w:ascii="Calibri" w:eastAsia="Times New Roman" w:hAnsi="Calibri" w:cs="Calibri"/>
                <w:color w:val="000000"/>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BFBFBF"/>
            <w:noWrap/>
            <w:vAlign w:val="bottom"/>
            <w:hideMark/>
          </w:tcPr>
          <w:p w:rsidR="00E17AF1" w:rsidRPr="00E17AF1" w:rsidRDefault="00E17AF1" w:rsidP="00E17AF1">
            <w:pPr>
              <w:rPr>
                <w:rFonts w:ascii="Calibri" w:eastAsia="Times New Roman" w:hAnsi="Calibri" w:cs="Calibri"/>
                <w:color w:val="000000"/>
                <w:sz w:val="22"/>
                <w:szCs w:val="22"/>
                <w:lang w:eastAsia="en-GB"/>
              </w:rPr>
            </w:pPr>
            <w:r w:rsidRPr="00E17AF1">
              <w:rPr>
                <w:rFonts w:ascii="Calibri" w:eastAsia="Times New Roman" w:hAnsi="Calibri" w:cs="Calibri"/>
                <w:color w:val="000000"/>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single" w:sz="4" w:space="0" w:color="auto"/>
              <w:right w:val="single" w:sz="4" w:space="0" w:color="auto"/>
            </w:tcBorders>
            <w:shd w:val="clear" w:color="000000" w:fill="BFBFBF"/>
            <w:noWrap/>
            <w:vAlign w:val="bottom"/>
            <w:hideMark/>
          </w:tcPr>
          <w:p w:rsidR="00E17AF1" w:rsidRPr="00E17AF1" w:rsidRDefault="00E17AF1" w:rsidP="00E17AF1">
            <w:pPr>
              <w:rPr>
                <w:rFonts w:ascii="Calibri" w:eastAsia="Times New Roman" w:hAnsi="Calibri" w:cs="Calibri"/>
                <w:color w:val="000000"/>
                <w:sz w:val="22"/>
                <w:szCs w:val="22"/>
                <w:lang w:eastAsia="en-GB"/>
              </w:rPr>
            </w:pPr>
            <w:r w:rsidRPr="00E17AF1">
              <w:rPr>
                <w:rFonts w:ascii="Calibri" w:eastAsia="Times New Roman" w:hAnsi="Calibri" w:cs="Calibri"/>
                <w:color w:val="000000"/>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F30835">
        <w:trPr>
          <w:trHeight w:val="885"/>
        </w:trPr>
        <w:tc>
          <w:tcPr>
            <w:tcW w:w="2920" w:type="dxa"/>
            <w:tcBorders>
              <w:top w:val="nil"/>
              <w:left w:val="single" w:sz="8" w:space="0" w:color="auto"/>
              <w:bottom w:val="single" w:sz="8" w:space="0" w:color="auto"/>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Overall net impact on Council Tax Band D per week</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0.43</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0.40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0.28</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0.16</w:t>
            </w:r>
          </w:p>
        </w:tc>
        <w:tc>
          <w:tcPr>
            <w:tcW w:w="1340" w:type="dxa"/>
            <w:tcBorders>
              <w:top w:val="nil"/>
              <w:left w:val="nil"/>
              <w:bottom w:val="single" w:sz="8" w:space="0" w:color="auto"/>
              <w:right w:val="single" w:sz="8"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0.11</w:t>
            </w:r>
          </w:p>
        </w:tc>
      </w:tr>
    </w:tbl>
    <w:p w:rsidR="00E17AF1" w:rsidRPr="00E17AF1" w:rsidRDefault="00E17AF1" w:rsidP="00E17AF1">
      <w:pPr>
        <w:rPr>
          <w:rFonts w:eastAsia="Times New Roman" w:cs="Times New Roman"/>
          <w:b/>
        </w:rPr>
      </w:pPr>
    </w:p>
    <w:p w:rsidR="00E17AF1" w:rsidRPr="00E17AF1" w:rsidRDefault="00E17AF1" w:rsidP="00E17AF1">
      <w:pPr>
        <w:ind w:left="-180"/>
        <w:rPr>
          <w:rFonts w:eastAsia="Times New Roman" w:cs="Times New Roman"/>
          <w:b/>
        </w:rPr>
      </w:pPr>
      <w:r w:rsidRPr="00E17AF1">
        <w:rPr>
          <w:rFonts w:eastAsia="Times New Roman" w:cs="Times New Roman"/>
          <w:b/>
        </w:rPr>
        <w:t>Housing Rents</w:t>
      </w:r>
    </w:p>
    <w:p w:rsidR="00E17AF1" w:rsidRPr="00E17AF1" w:rsidRDefault="00E17AF1" w:rsidP="00E17AF1">
      <w:pPr>
        <w:numPr>
          <w:ilvl w:val="0"/>
          <w:numId w:val="1"/>
        </w:numPr>
        <w:rPr>
          <w:rFonts w:eastAsia="Times New Roman" w:cs="Times New Roman"/>
        </w:rPr>
      </w:pPr>
      <w:r w:rsidRPr="00E17AF1">
        <w:rPr>
          <w:rFonts w:eastAsia="Times New Roman" w:cs="Times New Roman"/>
        </w:rPr>
        <w:t>The estimated incremental impact of capital investment decisions on weekly housing rents is shown in Table 5 below. The figures have been calculated by looking at those schemes that are currently in the Capital Programme and deducting alternate funding resources.</w:t>
      </w:r>
    </w:p>
    <w:p w:rsidR="00E17AF1" w:rsidRPr="00E17AF1" w:rsidRDefault="00E17AF1" w:rsidP="00E17AF1">
      <w:pPr>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The key driver for setting housing rents is legislation.</w:t>
      </w:r>
    </w:p>
    <w:p w:rsidR="00E17AF1" w:rsidRPr="00E17AF1" w:rsidRDefault="00E17AF1" w:rsidP="00E17AF1">
      <w:pPr>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The expected expenditure on the HRA Capital Programme could have the following impact on Council rents if rents were not otherwise restricted:</w:t>
      </w:r>
    </w:p>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Table 5:- Potential Impact of Capital Expenditure on Housing Rents</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single" w:sz="4" w:space="0" w:color="auto"/>
            </w:tcBorders>
            <w:shd w:val="clear" w:color="000000" w:fill="BFBFBF"/>
            <w:noWrap/>
            <w:vAlign w:val="bottom"/>
            <w:hideMark/>
          </w:tcPr>
          <w:p w:rsidR="00E17AF1" w:rsidRPr="00E17AF1" w:rsidRDefault="00E17AF1" w:rsidP="00E17AF1">
            <w:pPr>
              <w:rPr>
                <w:rFonts w:ascii="Calibri" w:eastAsia="Times New Roman" w:hAnsi="Calibri" w:cs="Calibri"/>
                <w:color w:val="000000"/>
                <w:sz w:val="22"/>
                <w:szCs w:val="22"/>
                <w:lang w:eastAsia="en-GB"/>
              </w:rPr>
            </w:pPr>
            <w:r w:rsidRPr="00E17AF1">
              <w:rPr>
                <w:rFonts w:ascii="Calibri" w:eastAsia="Times New Roman" w:hAnsi="Calibri" w:cs="Calibri"/>
                <w:color w:val="000000"/>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BFBFBF"/>
            <w:noWrap/>
            <w:vAlign w:val="bottom"/>
            <w:hideMark/>
          </w:tcPr>
          <w:p w:rsidR="00E17AF1" w:rsidRPr="00E17AF1" w:rsidRDefault="00E17AF1" w:rsidP="00E17AF1">
            <w:pPr>
              <w:rPr>
                <w:rFonts w:eastAsia="Times New Roman"/>
                <w:color w:val="000000"/>
                <w:sz w:val="22"/>
                <w:szCs w:val="22"/>
                <w:lang w:eastAsia="en-GB"/>
              </w:rPr>
            </w:pPr>
            <w:r w:rsidRPr="00E17AF1">
              <w:rPr>
                <w:rFonts w:eastAsia="Times New Roman"/>
                <w:color w:val="000000"/>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single" w:sz="4" w:space="0" w:color="auto"/>
              <w:right w:val="single" w:sz="4" w:space="0" w:color="auto"/>
            </w:tcBorders>
            <w:shd w:val="clear" w:color="000000" w:fill="BFBFBF"/>
            <w:noWrap/>
            <w:vAlign w:val="bottom"/>
            <w:hideMark/>
          </w:tcPr>
          <w:p w:rsidR="00E17AF1" w:rsidRPr="00E17AF1" w:rsidRDefault="00E17AF1" w:rsidP="00E17AF1">
            <w:pPr>
              <w:rPr>
                <w:rFonts w:eastAsia="Times New Roman"/>
                <w:color w:val="000000"/>
                <w:sz w:val="22"/>
                <w:szCs w:val="22"/>
                <w:lang w:eastAsia="en-GB"/>
              </w:rPr>
            </w:pPr>
            <w:r w:rsidRPr="00E17AF1">
              <w:rPr>
                <w:rFonts w:eastAsia="Times New Roman"/>
                <w:color w:val="000000"/>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F30835">
        <w:trPr>
          <w:trHeight w:val="600"/>
        </w:trPr>
        <w:tc>
          <w:tcPr>
            <w:tcW w:w="2920" w:type="dxa"/>
            <w:tcBorders>
              <w:top w:val="nil"/>
              <w:left w:val="single" w:sz="8" w:space="0" w:color="auto"/>
              <w:bottom w:val="single" w:sz="8" w:space="0" w:color="auto"/>
              <w:right w:val="single" w:sz="4" w:space="0" w:color="auto"/>
            </w:tcBorders>
            <w:shd w:val="clear" w:color="000000" w:fill="FFFFFF"/>
            <w:vAlign w:val="bottom"/>
            <w:hideMark/>
          </w:tcPr>
          <w:p w:rsidR="00E17AF1" w:rsidRPr="00E17AF1" w:rsidRDefault="00E17AF1" w:rsidP="00E17AF1">
            <w:pPr>
              <w:rPr>
                <w:rFonts w:eastAsia="Times New Roman"/>
                <w:color w:val="000000"/>
                <w:sz w:val="22"/>
                <w:szCs w:val="22"/>
                <w:lang w:eastAsia="en-GB"/>
              </w:rPr>
            </w:pPr>
            <w:r w:rsidRPr="00E17AF1">
              <w:rPr>
                <w:rFonts w:eastAsia="Times New Roman"/>
                <w:color w:val="000000"/>
                <w:sz w:val="22"/>
                <w:szCs w:val="22"/>
                <w:lang w:eastAsia="en-GB"/>
              </w:rPr>
              <w:t>Overall net impact on Weekly Housing Rents</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1.92</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1.50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1.93</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2.13</w:t>
            </w:r>
          </w:p>
        </w:tc>
        <w:tc>
          <w:tcPr>
            <w:tcW w:w="1340" w:type="dxa"/>
            <w:tcBorders>
              <w:top w:val="nil"/>
              <w:left w:val="nil"/>
              <w:bottom w:val="single" w:sz="8" w:space="0" w:color="auto"/>
              <w:right w:val="single" w:sz="8" w:space="0" w:color="auto"/>
            </w:tcBorders>
            <w:shd w:val="clear" w:color="000000" w:fill="FFFFFF"/>
            <w:noWrap/>
            <w:vAlign w:val="bottom"/>
            <w:hideMark/>
          </w:tcPr>
          <w:p w:rsidR="00E17AF1" w:rsidRPr="00E17AF1" w:rsidRDefault="00E17AF1" w:rsidP="00E17AF1">
            <w:pPr>
              <w:jc w:val="right"/>
              <w:rPr>
                <w:rFonts w:eastAsia="Times New Roman"/>
                <w:color w:val="000000"/>
                <w:sz w:val="22"/>
                <w:szCs w:val="22"/>
                <w:lang w:eastAsia="en-GB"/>
              </w:rPr>
            </w:pPr>
            <w:r w:rsidRPr="00E17AF1">
              <w:rPr>
                <w:rFonts w:eastAsia="Times New Roman"/>
                <w:color w:val="000000"/>
                <w:sz w:val="22"/>
                <w:szCs w:val="22"/>
                <w:lang w:eastAsia="en-GB"/>
              </w:rPr>
              <w:t>1.56</w:t>
            </w:r>
          </w:p>
        </w:tc>
      </w:tr>
    </w:tbl>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E. Authorised Limit for External Debt</w:t>
      </w:r>
    </w:p>
    <w:p w:rsidR="00E17AF1" w:rsidRPr="00E17AF1" w:rsidRDefault="00E17AF1" w:rsidP="00E17AF1">
      <w:pPr>
        <w:numPr>
          <w:ilvl w:val="0"/>
          <w:numId w:val="1"/>
        </w:numPr>
        <w:tabs>
          <w:tab w:val="clear" w:pos="862"/>
          <w:tab w:val="num" w:pos="851"/>
        </w:tabs>
        <w:ind w:left="851" w:hanging="425"/>
        <w:rPr>
          <w:rFonts w:eastAsia="Times New Roman" w:cs="Times New Roman"/>
        </w:rPr>
      </w:pPr>
      <w:r w:rsidRPr="00E17AF1">
        <w:rPr>
          <w:rFonts w:eastAsia="Times New Roman" w:cs="Times New Roman"/>
        </w:rPr>
        <w:t>This represents a limit beyond which external debt is prohibited.  It reflects the level of external debt, which, while not desired, could be afforded in the short term, but is not sustainable in the longer term.  This is the statutory limit determined under section 3 (1) of the Local Government Act 2003.</w:t>
      </w:r>
    </w:p>
    <w:p w:rsidR="00E17AF1" w:rsidRPr="00E17AF1" w:rsidRDefault="00E17AF1" w:rsidP="00E17AF1">
      <w:pPr>
        <w:ind w:left="360"/>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 xml:space="preserve">Table 6:- Authorised Limit for external debt </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nil"/>
              <w:left w:val="nil"/>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4,000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14,232</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18,415</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21,320</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25,878</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HRA</w:t>
            </w:r>
          </w:p>
        </w:tc>
        <w:tc>
          <w:tcPr>
            <w:tcW w:w="1340" w:type="dxa"/>
            <w:tcBorders>
              <w:top w:val="nil"/>
              <w:left w:val="nil"/>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Other Long Term Liabilities</w:t>
            </w:r>
          </w:p>
        </w:tc>
        <w:tc>
          <w:tcPr>
            <w:tcW w:w="1340" w:type="dxa"/>
            <w:tcBorders>
              <w:top w:val="nil"/>
              <w:left w:val="nil"/>
              <w:bottom w:val="nil"/>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nil"/>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r>
      <w:tr w:rsidR="00E17AF1" w:rsidRPr="00E17AF1" w:rsidTr="00F30835">
        <w:trPr>
          <w:trHeight w:val="315"/>
        </w:trPr>
        <w:tc>
          <w:tcPr>
            <w:tcW w:w="2920" w:type="dxa"/>
            <w:tcBorders>
              <w:top w:val="nil"/>
              <w:left w:val="single" w:sz="8" w:space="0" w:color="auto"/>
              <w:bottom w:val="single" w:sz="8" w:space="0" w:color="auto"/>
              <w:right w:val="single" w:sz="4" w:space="0" w:color="auto"/>
            </w:tcBorders>
            <w:shd w:val="clear" w:color="auto" w:fill="auto"/>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w:t>
            </w:r>
          </w:p>
        </w:tc>
        <w:tc>
          <w:tcPr>
            <w:tcW w:w="1340" w:type="dxa"/>
            <w:tcBorders>
              <w:top w:val="single" w:sz="4" w:space="0" w:color="auto"/>
              <w:left w:val="nil"/>
              <w:bottom w:val="single" w:sz="8"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245,188</w:t>
            </w:r>
          </w:p>
        </w:tc>
        <w:tc>
          <w:tcPr>
            <w:tcW w:w="1340" w:type="dxa"/>
            <w:tcBorders>
              <w:top w:val="single" w:sz="4" w:space="0" w:color="auto"/>
              <w:left w:val="nil"/>
              <w:bottom w:val="single" w:sz="8" w:space="0" w:color="auto"/>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255,420</w:t>
            </w:r>
          </w:p>
        </w:tc>
        <w:tc>
          <w:tcPr>
            <w:tcW w:w="1340" w:type="dxa"/>
            <w:tcBorders>
              <w:top w:val="single" w:sz="4" w:space="0" w:color="auto"/>
              <w:left w:val="single" w:sz="4" w:space="0" w:color="auto"/>
              <w:bottom w:val="single" w:sz="8" w:space="0" w:color="auto"/>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259,603</w:t>
            </w:r>
          </w:p>
        </w:tc>
        <w:tc>
          <w:tcPr>
            <w:tcW w:w="1340" w:type="dxa"/>
            <w:tcBorders>
              <w:top w:val="single" w:sz="4" w:space="0" w:color="auto"/>
              <w:left w:val="single" w:sz="4" w:space="0" w:color="auto"/>
              <w:bottom w:val="single" w:sz="8" w:space="0" w:color="auto"/>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262,508</w:t>
            </w:r>
          </w:p>
        </w:tc>
        <w:tc>
          <w:tcPr>
            <w:tcW w:w="13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267,066</w:t>
            </w:r>
          </w:p>
        </w:tc>
      </w:tr>
    </w:tbl>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Separately, the Council is also limited to a maximum HRA CFR through the HRA self-financing regime.  The Council intends to utilise most of this headroom to fund the HRA Capital Programme, although it is considered prudent to withhold £10m of the borrowing headroom as a contingency for potential changes in capital costs and interest charges.  These limits are:</w:t>
      </w:r>
    </w:p>
    <w:p w:rsidR="00E17AF1" w:rsidRPr="00E17AF1" w:rsidRDefault="00E17AF1" w:rsidP="00E17AF1">
      <w:pPr>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Table 7: HRA Capital Financing Requirement Limit</w:t>
      </w:r>
    </w:p>
    <w:p w:rsidR="00E17AF1" w:rsidRPr="00E17AF1" w:rsidRDefault="00E17AF1" w:rsidP="00E17AF1">
      <w:pPr>
        <w:rPr>
          <w:rFonts w:eastAsia="Times New Roman" w:cs="Times New Roman"/>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vMerge w:val="restart"/>
            <w:tcBorders>
              <w:top w:val="single" w:sz="8" w:space="0" w:color="auto"/>
              <w:left w:val="single" w:sz="8" w:space="0" w:color="auto"/>
              <w:bottom w:val="nil"/>
              <w:right w:val="nil"/>
            </w:tcBorders>
            <w:shd w:val="clear" w:color="000000" w:fill="C0C0C0"/>
            <w:hideMark/>
          </w:tcPr>
          <w:p w:rsidR="00E17AF1" w:rsidRPr="00E17AF1" w:rsidRDefault="00E17AF1" w:rsidP="00E17AF1">
            <w:pPr>
              <w:jc w:val="both"/>
              <w:rPr>
                <w:rFonts w:eastAsia="Times New Roman"/>
                <w:b/>
                <w:bCs/>
                <w:sz w:val="22"/>
                <w:szCs w:val="22"/>
                <w:lang w:eastAsia="en-GB"/>
              </w:rPr>
            </w:pPr>
            <w:r w:rsidRPr="00E17AF1">
              <w:rPr>
                <w:rFonts w:eastAsia="Times New Roman"/>
                <w:b/>
                <w:bCs/>
                <w:sz w:val="22"/>
                <w:szCs w:val="22"/>
                <w:lang w:eastAsia="en-GB"/>
              </w:rPr>
              <w:t>HRA Debt Limit</w:t>
            </w:r>
          </w:p>
        </w:tc>
        <w:tc>
          <w:tcPr>
            <w:tcW w:w="1340" w:type="dxa"/>
            <w:tcBorders>
              <w:top w:val="single" w:sz="8" w:space="0" w:color="auto"/>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vMerge/>
            <w:tcBorders>
              <w:top w:val="single" w:sz="8" w:space="0" w:color="auto"/>
              <w:left w:val="single" w:sz="8" w:space="0" w:color="auto"/>
              <w:bottom w:val="nil"/>
              <w:right w:val="nil"/>
            </w:tcBorders>
            <w:vAlign w:val="center"/>
            <w:hideMark/>
          </w:tcPr>
          <w:p w:rsidR="00E17AF1" w:rsidRPr="00E17AF1" w:rsidRDefault="00E17AF1" w:rsidP="00E17AF1">
            <w:pPr>
              <w:rPr>
                <w:rFonts w:eastAsia="Times New Roman"/>
                <w:b/>
                <w:bCs/>
                <w:sz w:val="22"/>
                <w:szCs w:val="22"/>
                <w:lang w:eastAsia="en-GB"/>
              </w:rPr>
            </w:pPr>
          </w:p>
        </w:tc>
        <w:tc>
          <w:tcPr>
            <w:tcW w:w="134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single" w:sz="4" w:space="0" w:color="auto"/>
              <w:right w:val="nil"/>
            </w:tcBorders>
            <w:shd w:val="clear" w:color="000000" w:fill="C0C0C0"/>
            <w:hideMark/>
          </w:tcPr>
          <w:p w:rsidR="00E17AF1" w:rsidRPr="00E17AF1" w:rsidRDefault="00E17AF1" w:rsidP="00E17AF1">
            <w:pPr>
              <w:jc w:val="both"/>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F30835">
        <w:trPr>
          <w:trHeight w:val="315"/>
        </w:trPr>
        <w:tc>
          <w:tcPr>
            <w:tcW w:w="2920" w:type="dxa"/>
            <w:tcBorders>
              <w:top w:val="nil"/>
              <w:left w:val="single" w:sz="8" w:space="0" w:color="auto"/>
              <w:bottom w:val="single" w:sz="8" w:space="0" w:color="auto"/>
              <w:right w:val="nil"/>
            </w:tcBorders>
            <w:shd w:val="clear" w:color="auto" w:fill="auto"/>
            <w:hideMark/>
          </w:tcPr>
          <w:p w:rsidR="00E17AF1" w:rsidRPr="00E17AF1" w:rsidRDefault="00E17AF1" w:rsidP="00E17AF1">
            <w:pPr>
              <w:jc w:val="both"/>
              <w:rPr>
                <w:rFonts w:eastAsia="Times New Roman"/>
                <w:sz w:val="22"/>
                <w:szCs w:val="22"/>
                <w:lang w:eastAsia="en-GB"/>
              </w:rPr>
            </w:pPr>
            <w:r w:rsidRPr="00E17AF1">
              <w:rPr>
                <w:rFonts w:eastAsia="Times New Roman"/>
                <w:sz w:val="22"/>
                <w:szCs w:val="22"/>
                <w:lang w:eastAsia="en-GB"/>
              </w:rPr>
              <w:t>Total</w:t>
            </w:r>
          </w:p>
        </w:tc>
        <w:tc>
          <w:tcPr>
            <w:tcW w:w="1340" w:type="dxa"/>
            <w:tcBorders>
              <w:top w:val="nil"/>
              <w:left w:val="single" w:sz="4" w:space="0" w:color="auto"/>
              <w:bottom w:val="single" w:sz="8"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c>
          <w:tcPr>
            <w:tcW w:w="1340" w:type="dxa"/>
            <w:tcBorders>
              <w:top w:val="nil"/>
              <w:left w:val="nil"/>
              <w:bottom w:val="single" w:sz="8"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c>
          <w:tcPr>
            <w:tcW w:w="1340" w:type="dxa"/>
            <w:tcBorders>
              <w:top w:val="nil"/>
              <w:left w:val="nil"/>
              <w:bottom w:val="single" w:sz="8"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c>
          <w:tcPr>
            <w:tcW w:w="1340" w:type="dxa"/>
            <w:tcBorders>
              <w:top w:val="nil"/>
              <w:left w:val="nil"/>
              <w:bottom w:val="single" w:sz="8" w:space="0" w:color="auto"/>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c>
          <w:tcPr>
            <w:tcW w:w="1340" w:type="dxa"/>
            <w:tcBorders>
              <w:top w:val="nil"/>
              <w:left w:val="single" w:sz="4" w:space="0" w:color="auto"/>
              <w:bottom w:val="single" w:sz="8" w:space="0" w:color="auto"/>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r>
    </w:tbl>
    <w:p w:rsidR="00E17AF1" w:rsidRPr="00E17AF1" w:rsidRDefault="00E17AF1" w:rsidP="00E17AF1">
      <w:pPr>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F. Operational Boundary for External Debt</w:t>
      </w:r>
    </w:p>
    <w:p w:rsidR="00E17AF1" w:rsidRPr="00E17AF1" w:rsidRDefault="00E17AF1" w:rsidP="00E17AF1">
      <w:pPr>
        <w:numPr>
          <w:ilvl w:val="0"/>
          <w:numId w:val="1"/>
        </w:numPr>
        <w:ind w:hanging="436"/>
        <w:rPr>
          <w:rFonts w:eastAsia="Times New Roman" w:cs="Times New Roman"/>
        </w:rPr>
      </w:pPr>
      <w:r w:rsidRPr="00E17AF1">
        <w:rPr>
          <w:rFonts w:eastAsia="Times New Roman" w:cs="Times New Roman"/>
        </w:rPr>
        <w:t>This is based on the expected maximum external debt during the course of the year, it is not a limit, and actual external debt can vary around this boundary for short times during the year.</w:t>
      </w:r>
    </w:p>
    <w:p w:rsidR="00E17AF1" w:rsidRPr="00E17AF1" w:rsidRDefault="00E17AF1" w:rsidP="00E17AF1">
      <w:pPr>
        <w:ind w:left="360"/>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 xml:space="preserve">Table 8:- Operational boundary for external debt </w:t>
      </w:r>
    </w:p>
    <w:p w:rsidR="00E17AF1" w:rsidRPr="00E17AF1" w:rsidRDefault="00E17AF1" w:rsidP="00E17AF1">
      <w:pPr>
        <w:ind w:left="360"/>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3,000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12,232</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12,415</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15,320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19,878</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HRA</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234,000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241,188</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Other Long Term Liabilities</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r>
      <w:tr w:rsidR="00E17AF1" w:rsidRPr="00E17AF1" w:rsidTr="00F30835">
        <w:trPr>
          <w:trHeight w:val="315"/>
        </w:trPr>
        <w:tc>
          <w:tcPr>
            <w:tcW w:w="2920" w:type="dxa"/>
            <w:tcBorders>
              <w:top w:val="nil"/>
              <w:left w:val="single" w:sz="8" w:space="0" w:color="auto"/>
              <w:bottom w:val="single" w:sz="8" w:space="0" w:color="auto"/>
              <w:right w:val="single" w:sz="4" w:space="0" w:color="auto"/>
            </w:tcBorders>
            <w:shd w:val="clear" w:color="000000" w:fill="FFFFFF"/>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w:t>
            </w:r>
          </w:p>
        </w:tc>
        <w:tc>
          <w:tcPr>
            <w:tcW w:w="1340" w:type="dxa"/>
            <w:tcBorders>
              <w:top w:val="single" w:sz="4" w:space="0" w:color="auto"/>
              <w:left w:val="nil"/>
              <w:bottom w:val="single" w:sz="8" w:space="0" w:color="auto"/>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237,000</w:t>
            </w:r>
          </w:p>
        </w:tc>
        <w:tc>
          <w:tcPr>
            <w:tcW w:w="1340" w:type="dxa"/>
            <w:tcBorders>
              <w:top w:val="single" w:sz="4" w:space="0" w:color="auto"/>
              <w:left w:val="nil"/>
              <w:bottom w:val="single" w:sz="8" w:space="0" w:color="auto"/>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253,420</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253,603</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256,508</w:t>
            </w:r>
          </w:p>
        </w:tc>
        <w:tc>
          <w:tcPr>
            <w:tcW w:w="134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261,066</w:t>
            </w:r>
          </w:p>
        </w:tc>
      </w:tr>
    </w:tbl>
    <w:p w:rsidR="00E17AF1" w:rsidRPr="00E17AF1" w:rsidRDefault="00E17AF1" w:rsidP="00E17AF1">
      <w:pPr>
        <w:ind w:left="360"/>
        <w:rPr>
          <w:rFonts w:eastAsia="Times New Roman" w:cs="Times New Roman"/>
          <w:b/>
        </w:rPr>
      </w:pPr>
    </w:p>
    <w:p w:rsidR="00E17AF1" w:rsidRPr="00E17AF1" w:rsidRDefault="00E17AF1" w:rsidP="00E17AF1">
      <w:pPr>
        <w:ind w:left="426" w:hanging="360"/>
        <w:rPr>
          <w:rFonts w:eastAsia="Times New Roman" w:cs="Times New Roman"/>
          <w:b/>
        </w:rPr>
      </w:pPr>
      <w:r w:rsidRPr="00E17AF1">
        <w:rPr>
          <w:rFonts w:eastAsia="Times New Roman" w:cs="Times New Roman"/>
          <w:b/>
        </w:rPr>
        <w:t>G. Net Borrowing Compared to the Council’s Capital Financing Requirement</w:t>
      </w:r>
    </w:p>
    <w:p w:rsidR="00E17AF1" w:rsidRPr="00E17AF1" w:rsidRDefault="00E17AF1" w:rsidP="00E17AF1">
      <w:pPr>
        <w:numPr>
          <w:ilvl w:val="0"/>
          <w:numId w:val="1"/>
        </w:numPr>
        <w:ind w:hanging="540"/>
        <w:rPr>
          <w:rFonts w:eastAsia="Times New Roman" w:cs="Times New Roman"/>
        </w:rPr>
      </w:pPr>
      <w:r w:rsidRPr="00E17AF1">
        <w:rPr>
          <w:rFonts w:eastAsia="Times New Roman" w:cs="Times New Roman"/>
        </w:rPr>
        <w:t>Table 9 below shows the Council’s net borrowing position compared to its Capital Financing Requirement.  As can be seen, the figures show that the Council is currently borrowing below its financing requirement which indicates a need to borrow in the short to medium term.  The Council needs to ensure that its total borrowing net of any investments, does not, except in the short term, exceed the total of the CFR in the preceding year plus the estimates of any additional CFR for the current and next two financial years.  This allows some flexibility for limited early borrowing for future years.</w:t>
      </w:r>
    </w:p>
    <w:p w:rsidR="00E17AF1" w:rsidRPr="00E17AF1" w:rsidRDefault="00E17AF1" w:rsidP="00E17AF1">
      <w:pPr>
        <w:ind w:left="360"/>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br w:type="page"/>
      </w:r>
    </w:p>
    <w:p w:rsidR="00E17AF1" w:rsidRPr="00E17AF1" w:rsidRDefault="00E17AF1" w:rsidP="00E17AF1">
      <w:pPr>
        <w:rPr>
          <w:rFonts w:eastAsia="Times New Roman" w:cs="Times New Roman"/>
        </w:rPr>
      </w:pPr>
      <w:r w:rsidRPr="00E17AF1">
        <w:rPr>
          <w:rFonts w:eastAsia="Times New Roman" w:cs="Times New Roman"/>
          <w:b/>
        </w:rPr>
        <w:lastRenderedPageBreak/>
        <w:t>Table 9:- Net borrowing compared to CFR</w:t>
      </w:r>
      <w:r w:rsidRPr="00E17AF1">
        <w:rPr>
          <w:rFonts w:eastAsia="Times New Roman" w:cs="Times New Roman"/>
        </w:rPr>
        <w:t xml:space="preserve"> </w:t>
      </w:r>
    </w:p>
    <w:p w:rsidR="00E17AF1" w:rsidRPr="00E17AF1" w:rsidRDefault="00E17AF1" w:rsidP="00E17AF1">
      <w:pPr>
        <w:ind w:left="360"/>
        <w:rPr>
          <w:rFonts w:eastAsia="Times New Roman" w:cs="Times New Roman"/>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Gross Borrowing</w:t>
            </w:r>
          </w:p>
        </w:tc>
        <w:tc>
          <w:tcPr>
            <w:tcW w:w="1340" w:type="dxa"/>
            <w:tcBorders>
              <w:top w:val="nil"/>
              <w:left w:val="nil"/>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199,423</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198,528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198,528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198,528</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198,528</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Other Long Term Liabilities</w:t>
            </w:r>
          </w:p>
        </w:tc>
        <w:tc>
          <w:tcPr>
            <w:tcW w:w="1340" w:type="dxa"/>
            <w:tcBorders>
              <w:top w:val="nil"/>
              <w:left w:val="nil"/>
              <w:bottom w:val="nil"/>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nil"/>
              <w:bottom w:val="nil"/>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nil"/>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r>
      <w:tr w:rsidR="00E17AF1" w:rsidRPr="00E17AF1" w:rsidTr="00F30835">
        <w:trPr>
          <w:trHeight w:val="300"/>
        </w:trPr>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 Gross Debt 31 March</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199,423</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198,528</w:t>
            </w:r>
          </w:p>
        </w:tc>
        <w:tc>
          <w:tcPr>
            <w:tcW w:w="1340" w:type="dxa"/>
            <w:tcBorders>
              <w:top w:val="single" w:sz="4" w:space="0" w:color="auto"/>
              <w:left w:val="nil"/>
              <w:bottom w:val="single" w:sz="4" w:space="0" w:color="auto"/>
              <w:right w:val="nil"/>
            </w:tcBorders>
            <w:shd w:val="clear" w:color="auto" w:fill="auto"/>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198,528</w:t>
            </w:r>
          </w:p>
        </w:tc>
        <w:tc>
          <w:tcPr>
            <w:tcW w:w="1340" w:type="dxa"/>
            <w:tcBorders>
              <w:top w:val="single" w:sz="4" w:space="0" w:color="auto"/>
              <w:left w:val="single" w:sz="4" w:space="0" w:color="auto"/>
              <w:bottom w:val="single" w:sz="4" w:space="0" w:color="auto"/>
              <w:right w:val="nil"/>
            </w:tcBorders>
            <w:shd w:val="clear" w:color="auto" w:fill="auto"/>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198,528</w:t>
            </w:r>
          </w:p>
        </w:tc>
        <w:tc>
          <w:tcPr>
            <w:tcW w:w="13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198,528</w:t>
            </w:r>
          </w:p>
        </w:tc>
      </w:tr>
      <w:tr w:rsidR="00E17AF1" w:rsidRPr="00E17AF1" w:rsidTr="00F30835">
        <w:trPr>
          <w:trHeight w:val="30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CFR</w:t>
            </w:r>
          </w:p>
        </w:tc>
        <w:tc>
          <w:tcPr>
            <w:tcW w:w="1340" w:type="dxa"/>
            <w:tcBorders>
              <w:top w:val="nil"/>
              <w:left w:val="nil"/>
              <w:bottom w:val="single" w:sz="4"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200,641</w:t>
            </w:r>
          </w:p>
        </w:tc>
        <w:tc>
          <w:tcPr>
            <w:tcW w:w="1340" w:type="dxa"/>
            <w:tcBorders>
              <w:top w:val="nil"/>
              <w:left w:val="nil"/>
              <w:bottom w:val="single" w:sz="4"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210,616</w:t>
            </w:r>
          </w:p>
        </w:tc>
        <w:tc>
          <w:tcPr>
            <w:tcW w:w="1340" w:type="dxa"/>
            <w:tcBorders>
              <w:top w:val="nil"/>
              <w:left w:val="nil"/>
              <w:bottom w:val="single" w:sz="4" w:space="0" w:color="auto"/>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214,799</w:t>
            </w:r>
          </w:p>
        </w:tc>
        <w:tc>
          <w:tcPr>
            <w:tcW w:w="1340" w:type="dxa"/>
            <w:tcBorders>
              <w:top w:val="nil"/>
              <w:left w:val="single" w:sz="4" w:space="0" w:color="auto"/>
              <w:bottom w:val="single" w:sz="4" w:space="0" w:color="auto"/>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224,216</w:t>
            </w:r>
          </w:p>
        </w:tc>
        <w:tc>
          <w:tcPr>
            <w:tcW w:w="1340" w:type="dxa"/>
            <w:tcBorders>
              <w:top w:val="nil"/>
              <w:left w:val="single" w:sz="4" w:space="0" w:color="auto"/>
              <w:bottom w:val="single" w:sz="4" w:space="0" w:color="auto"/>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235,028</w:t>
            </w:r>
          </w:p>
        </w:tc>
      </w:tr>
      <w:tr w:rsidR="00E17AF1" w:rsidRPr="00E17AF1" w:rsidTr="00F30835">
        <w:trPr>
          <w:trHeight w:val="315"/>
        </w:trPr>
        <w:tc>
          <w:tcPr>
            <w:tcW w:w="2920" w:type="dxa"/>
            <w:tcBorders>
              <w:top w:val="nil"/>
              <w:left w:val="single" w:sz="8" w:space="0" w:color="auto"/>
              <w:bottom w:val="single" w:sz="8"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Net Borrowing v CFR</w:t>
            </w:r>
          </w:p>
        </w:tc>
        <w:tc>
          <w:tcPr>
            <w:tcW w:w="1340" w:type="dxa"/>
            <w:tcBorders>
              <w:top w:val="nil"/>
              <w:left w:val="nil"/>
              <w:bottom w:val="single" w:sz="8" w:space="0" w:color="auto"/>
              <w:right w:val="single" w:sz="4" w:space="0" w:color="auto"/>
            </w:tcBorders>
            <w:shd w:val="clear" w:color="000000" w:fill="C0C0C0"/>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1,218</w:t>
            </w:r>
          </w:p>
        </w:tc>
        <w:tc>
          <w:tcPr>
            <w:tcW w:w="1340" w:type="dxa"/>
            <w:tcBorders>
              <w:top w:val="nil"/>
              <w:left w:val="nil"/>
              <w:bottom w:val="single" w:sz="8" w:space="0" w:color="auto"/>
              <w:right w:val="single" w:sz="4" w:space="0" w:color="auto"/>
            </w:tcBorders>
            <w:shd w:val="clear" w:color="000000" w:fill="C0C0C0"/>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12,088</w:t>
            </w:r>
          </w:p>
        </w:tc>
        <w:tc>
          <w:tcPr>
            <w:tcW w:w="1340" w:type="dxa"/>
            <w:tcBorders>
              <w:top w:val="nil"/>
              <w:left w:val="nil"/>
              <w:bottom w:val="single" w:sz="8" w:space="0" w:color="auto"/>
              <w:right w:val="single" w:sz="4" w:space="0" w:color="auto"/>
            </w:tcBorders>
            <w:shd w:val="clear" w:color="000000" w:fill="C0C0C0"/>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16,271</w:t>
            </w:r>
          </w:p>
        </w:tc>
        <w:tc>
          <w:tcPr>
            <w:tcW w:w="1340" w:type="dxa"/>
            <w:tcBorders>
              <w:top w:val="nil"/>
              <w:left w:val="nil"/>
              <w:bottom w:val="single" w:sz="8" w:space="0" w:color="auto"/>
              <w:right w:val="single" w:sz="4" w:space="0" w:color="auto"/>
            </w:tcBorders>
            <w:shd w:val="clear" w:color="000000" w:fill="C0C0C0"/>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25,688</w:t>
            </w:r>
          </w:p>
        </w:tc>
        <w:tc>
          <w:tcPr>
            <w:tcW w:w="1340" w:type="dxa"/>
            <w:tcBorders>
              <w:top w:val="nil"/>
              <w:left w:val="nil"/>
              <w:bottom w:val="single" w:sz="8" w:space="0" w:color="auto"/>
              <w:right w:val="single" w:sz="8" w:space="0" w:color="auto"/>
            </w:tcBorders>
            <w:shd w:val="clear" w:color="000000" w:fill="C0C0C0"/>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36,500</w:t>
            </w:r>
          </w:p>
        </w:tc>
      </w:tr>
    </w:tbl>
    <w:p w:rsidR="00E17AF1" w:rsidRPr="00E17AF1" w:rsidRDefault="00E17AF1" w:rsidP="00E17AF1">
      <w:pPr>
        <w:ind w:left="360"/>
        <w:rPr>
          <w:rFonts w:eastAsia="Times New Roman" w:cs="Times New Roman"/>
        </w:rPr>
      </w:pPr>
    </w:p>
    <w:p w:rsidR="00E17AF1" w:rsidRPr="00E17AF1" w:rsidRDefault="00E17AF1" w:rsidP="00E17AF1">
      <w:pPr>
        <w:ind w:left="284" w:hanging="284"/>
        <w:rPr>
          <w:rFonts w:eastAsia="Times New Roman" w:cs="Times New Roman"/>
          <w:b/>
        </w:rPr>
      </w:pPr>
      <w:r w:rsidRPr="00E17AF1">
        <w:rPr>
          <w:rFonts w:eastAsia="Times New Roman" w:cs="Times New Roman"/>
          <w:b/>
        </w:rPr>
        <w:t>H. Compliance with the CIPFA Code of Practice for Treasury Management in the Public Sector</w:t>
      </w:r>
    </w:p>
    <w:p w:rsidR="00E17AF1" w:rsidRPr="00E17AF1" w:rsidRDefault="00E17AF1" w:rsidP="00E17AF1">
      <w:pPr>
        <w:numPr>
          <w:ilvl w:val="0"/>
          <w:numId w:val="1"/>
        </w:numPr>
        <w:ind w:hanging="540"/>
        <w:rPr>
          <w:rFonts w:eastAsia="Times New Roman" w:cs="Times New Roman"/>
        </w:rPr>
      </w:pPr>
      <w:r w:rsidRPr="00E17AF1">
        <w:rPr>
          <w:rFonts w:eastAsia="Times New Roman" w:cs="Times New Roman"/>
        </w:rPr>
        <w:t>The Council can confirm that it has complied with this code throughout 2015/16 and will continue to do so.</w:t>
      </w:r>
    </w:p>
    <w:p w:rsidR="00E17AF1" w:rsidRPr="00E17AF1" w:rsidRDefault="00E17AF1" w:rsidP="00E17AF1">
      <w:pPr>
        <w:rPr>
          <w:rFonts w:eastAsia="Times New Roman" w:cs="Times New Roman"/>
        </w:rPr>
      </w:pPr>
    </w:p>
    <w:p w:rsidR="00E17AF1" w:rsidRPr="00E17AF1" w:rsidRDefault="00E17AF1" w:rsidP="00E17AF1">
      <w:pPr>
        <w:ind w:left="284" w:hanging="284"/>
        <w:rPr>
          <w:rFonts w:eastAsia="Times New Roman" w:cs="Times New Roman"/>
          <w:b/>
        </w:rPr>
      </w:pPr>
      <w:r w:rsidRPr="00E17AF1">
        <w:rPr>
          <w:rFonts w:eastAsia="Times New Roman" w:cs="Times New Roman"/>
          <w:b/>
        </w:rPr>
        <w:t>I. Upper Limit on Fixed and Variable Interest Rate Borrowing and Investments</w:t>
      </w:r>
    </w:p>
    <w:p w:rsidR="00E17AF1" w:rsidRPr="00E17AF1" w:rsidRDefault="00E17AF1" w:rsidP="00E17AF1">
      <w:pPr>
        <w:numPr>
          <w:ilvl w:val="0"/>
          <w:numId w:val="1"/>
        </w:numPr>
        <w:ind w:hanging="540"/>
        <w:rPr>
          <w:rFonts w:eastAsia="Times New Roman" w:cs="Times New Roman"/>
        </w:rPr>
      </w:pPr>
      <w:r w:rsidRPr="00E17AF1">
        <w:rPr>
          <w:rFonts w:eastAsia="Times New Roman" w:cs="Times New Roman"/>
        </w:rPr>
        <w:t>The purpose of this and the following two prudential indicators is to contain the activity of the treasury function within certain limits, thereby managing risk and reducing the impact of an adverse movement in interest rates.  This indicator identifies the maximum limit for fixed interest rates based upon the debt position net of investments.</w:t>
      </w:r>
    </w:p>
    <w:p w:rsidR="00E17AF1" w:rsidRPr="00E17AF1" w:rsidRDefault="00E17AF1" w:rsidP="00E17AF1">
      <w:pPr>
        <w:ind w:left="180"/>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10:- Upper limit on borrowing and investments</w:t>
      </w:r>
    </w:p>
    <w:p w:rsidR="00E17AF1" w:rsidRPr="00E17AF1" w:rsidRDefault="00E17AF1" w:rsidP="00E17AF1">
      <w:pPr>
        <w:ind w:left="180"/>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8" w:space="0" w:color="auto"/>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F30835">
        <w:trPr>
          <w:trHeight w:val="585"/>
        </w:trPr>
        <w:tc>
          <w:tcPr>
            <w:tcW w:w="2920" w:type="dxa"/>
            <w:tcBorders>
              <w:top w:val="single" w:sz="4" w:space="0" w:color="auto"/>
              <w:left w:val="single" w:sz="8"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on fixed rate borrowing</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r>
      <w:tr w:rsidR="00E17AF1" w:rsidRPr="00E17AF1" w:rsidTr="00F30835">
        <w:trPr>
          <w:trHeight w:val="585"/>
        </w:trPr>
        <w:tc>
          <w:tcPr>
            <w:tcW w:w="2920" w:type="dxa"/>
            <w:tcBorders>
              <w:top w:val="nil"/>
              <w:left w:val="single" w:sz="8"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on fixed rate investments</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C0C0C0"/>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r>
      <w:tr w:rsidR="00E17AF1" w:rsidRPr="00E17AF1" w:rsidTr="00F30835">
        <w:trPr>
          <w:trHeight w:val="585"/>
        </w:trPr>
        <w:tc>
          <w:tcPr>
            <w:tcW w:w="2920" w:type="dxa"/>
            <w:tcBorders>
              <w:top w:val="nil"/>
              <w:left w:val="single" w:sz="8"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on variable rate borrowing</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r>
      <w:tr w:rsidR="00E17AF1" w:rsidRPr="00E17AF1" w:rsidTr="00F30835">
        <w:trPr>
          <w:trHeight w:val="600"/>
        </w:trPr>
        <w:tc>
          <w:tcPr>
            <w:tcW w:w="2920" w:type="dxa"/>
            <w:tcBorders>
              <w:top w:val="nil"/>
              <w:left w:val="single" w:sz="8" w:space="0" w:color="auto"/>
              <w:bottom w:val="single" w:sz="8" w:space="0" w:color="auto"/>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on variable rate investments</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single" w:sz="8" w:space="0" w:color="auto"/>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single" w:sz="4" w:space="0" w:color="auto"/>
              <w:bottom w:val="single" w:sz="8" w:space="0" w:color="auto"/>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r>
    </w:tbl>
    <w:p w:rsidR="00E17AF1" w:rsidRPr="00E17AF1" w:rsidRDefault="00E17AF1" w:rsidP="00E17AF1">
      <w:pPr>
        <w:ind w:left="180"/>
        <w:rPr>
          <w:rFonts w:eastAsia="Times New Roman" w:cs="Times New Roman"/>
          <w:b/>
        </w:rPr>
      </w:pPr>
    </w:p>
    <w:p w:rsidR="00E17AF1" w:rsidRPr="00E17AF1" w:rsidRDefault="00E17AF1" w:rsidP="00E17AF1">
      <w:pPr>
        <w:ind w:left="360"/>
        <w:rPr>
          <w:rFonts w:eastAsia="Times New Roman" w:cs="Times New Roman"/>
          <w:b/>
        </w:rPr>
      </w:pPr>
      <w:r w:rsidRPr="00E17AF1">
        <w:rPr>
          <w:rFonts w:eastAsia="Times New Roman" w:cs="Times New Roman"/>
          <w:b/>
        </w:rPr>
        <w:t>J. Upper and Lower Limit for the Maturity Structure of Borrowing</w:t>
      </w:r>
    </w:p>
    <w:p w:rsidR="00E17AF1" w:rsidRPr="00E17AF1" w:rsidRDefault="00E17AF1" w:rsidP="00E17AF1">
      <w:pPr>
        <w:numPr>
          <w:ilvl w:val="0"/>
          <w:numId w:val="1"/>
        </w:numPr>
        <w:ind w:hanging="540"/>
        <w:rPr>
          <w:rFonts w:eastAsia="Times New Roman" w:cs="Times New Roman"/>
        </w:rPr>
      </w:pPr>
      <w:r w:rsidRPr="00E17AF1">
        <w:rPr>
          <w:rFonts w:eastAsia="Times New Roman" w:cs="Times New Roman"/>
        </w:rPr>
        <w:t>These are used to reduce the Council’s exposure to large fixed rate sums falling due for repayment at the same time.</w:t>
      </w:r>
    </w:p>
    <w:p w:rsidR="00E17AF1" w:rsidRPr="00E17AF1" w:rsidRDefault="00E17AF1" w:rsidP="00E17AF1">
      <w:pPr>
        <w:ind w:left="720"/>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br w:type="page"/>
      </w:r>
    </w:p>
    <w:p w:rsidR="00E17AF1" w:rsidRPr="00E17AF1" w:rsidRDefault="00E17AF1" w:rsidP="00E17AF1">
      <w:pPr>
        <w:ind w:left="180"/>
        <w:rPr>
          <w:rFonts w:eastAsia="Times New Roman" w:cs="Times New Roman"/>
          <w:b/>
        </w:rPr>
      </w:pPr>
      <w:r w:rsidRPr="00E17AF1">
        <w:rPr>
          <w:rFonts w:eastAsia="Times New Roman" w:cs="Times New Roman"/>
          <w:b/>
        </w:rPr>
        <w:lastRenderedPageBreak/>
        <w:t>Table 11:- Upper and lower limit on borrowing maturity</w:t>
      </w:r>
    </w:p>
    <w:p w:rsidR="00E17AF1" w:rsidRPr="00E17AF1" w:rsidRDefault="00E17AF1" w:rsidP="00E17AF1">
      <w:pPr>
        <w:ind w:left="180"/>
        <w:rPr>
          <w:rFonts w:eastAsia="Times New Roman" w:cs="Times New Roman"/>
          <w:b/>
        </w:rPr>
      </w:pPr>
    </w:p>
    <w:tbl>
      <w:tblPr>
        <w:tblW w:w="9796" w:type="dxa"/>
        <w:tblInd w:w="93" w:type="dxa"/>
        <w:tblLook w:val="04A0" w:firstRow="1" w:lastRow="0" w:firstColumn="1" w:lastColumn="0" w:noHBand="0" w:noVBand="1"/>
      </w:tblPr>
      <w:tblGrid>
        <w:gridCol w:w="2283"/>
        <w:gridCol w:w="1276"/>
        <w:gridCol w:w="1276"/>
        <w:gridCol w:w="1276"/>
        <w:gridCol w:w="1275"/>
        <w:gridCol w:w="1276"/>
        <w:gridCol w:w="1134"/>
      </w:tblGrid>
      <w:tr w:rsidR="00E17AF1" w:rsidRPr="00E17AF1" w:rsidTr="00F30835">
        <w:trPr>
          <w:trHeight w:val="300"/>
        </w:trPr>
        <w:tc>
          <w:tcPr>
            <w:tcW w:w="2283" w:type="dxa"/>
            <w:tcBorders>
              <w:top w:val="single" w:sz="8" w:space="0" w:color="auto"/>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276"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276"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276" w:type="dxa"/>
            <w:tcBorders>
              <w:top w:val="single" w:sz="8" w:space="0" w:color="auto"/>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275"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276" w:type="dxa"/>
            <w:tcBorders>
              <w:top w:val="single" w:sz="8" w:space="0" w:color="auto"/>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134"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r>
      <w:tr w:rsidR="00E17AF1" w:rsidRPr="00E17AF1" w:rsidTr="00F30835">
        <w:trPr>
          <w:trHeight w:val="300"/>
        </w:trPr>
        <w:tc>
          <w:tcPr>
            <w:tcW w:w="2283"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276"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276"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275"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134"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283"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276"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xml:space="preserve">Upper </w:t>
            </w:r>
          </w:p>
        </w:tc>
        <w:tc>
          <w:tcPr>
            <w:tcW w:w="1276"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Lower</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xml:space="preserve">Upper </w:t>
            </w:r>
          </w:p>
        </w:tc>
        <w:tc>
          <w:tcPr>
            <w:tcW w:w="1275"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Lower</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xml:space="preserve">Upper </w:t>
            </w:r>
          </w:p>
        </w:tc>
        <w:tc>
          <w:tcPr>
            <w:tcW w:w="1134"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Lower</w:t>
            </w:r>
          </w:p>
        </w:tc>
      </w:tr>
      <w:tr w:rsidR="00E17AF1" w:rsidRPr="00E17AF1" w:rsidTr="00F30835">
        <w:trPr>
          <w:trHeight w:val="300"/>
        </w:trPr>
        <w:tc>
          <w:tcPr>
            <w:tcW w:w="2283"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276"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276"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275"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134"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F30835">
        <w:trPr>
          <w:trHeight w:val="300"/>
        </w:trPr>
        <w:tc>
          <w:tcPr>
            <w:tcW w:w="2283" w:type="dxa"/>
            <w:tcBorders>
              <w:top w:val="single" w:sz="4" w:space="0" w:color="auto"/>
              <w:left w:val="single" w:sz="8" w:space="0" w:color="auto"/>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&lt; 12 months</w:t>
            </w:r>
          </w:p>
        </w:tc>
        <w:tc>
          <w:tcPr>
            <w:tcW w:w="1276" w:type="dxa"/>
            <w:tcBorders>
              <w:top w:val="single" w:sz="4" w:space="0" w:color="auto"/>
              <w:left w:val="single" w:sz="4" w:space="0" w:color="auto"/>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276"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single" w:sz="4" w:space="0" w:color="auto"/>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275"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single" w:sz="4" w:space="0" w:color="auto"/>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134" w:type="dxa"/>
            <w:tcBorders>
              <w:top w:val="single" w:sz="4" w:space="0" w:color="auto"/>
              <w:left w:val="nil"/>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r w:rsidR="00E17AF1" w:rsidRPr="00E17AF1" w:rsidTr="00F30835">
        <w:trPr>
          <w:trHeight w:val="300"/>
        </w:trPr>
        <w:tc>
          <w:tcPr>
            <w:tcW w:w="2283" w:type="dxa"/>
            <w:tcBorders>
              <w:top w:val="nil"/>
              <w:left w:val="single" w:sz="8" w:space="0" w:color="auto"/>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12 months - 2 years</w:t>
            </w:r>
          </w:p>
        </w:tc>
        <w:tc>
          <w:tcPr>
            <w:tcW w:w="1276"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276"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275"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134" w:type="dxa"/>
            <w:tcBorders>
              <w:top w:val="nil"/>
              <w:left w:val="nil"/>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r w:rsidR="00E17AF1" w:rsidRPr="00E17AF1" w:rsidTr="00F30835">
        <w:trPr>
          <w:trHeight w:val="300"/>
        </w:trPr>
        <w:tc>
          <w:tcPr>
            <w:tcW w:w="2283" w:type="dxa"/>
            <w:tcBorders>
              <w:top w:val="nil"/>
              <w:left w:val="single" w:sz="8" w:space="0" w:color="auto"/>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2 - 5 years</w:t>
            </w:r>
          </w:p>
        </w:tc>
        <w:tc>
          <w:tcPr>
            <w:tcW w:w="1276"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80</w:t>
            </w:r>
          </w:p>
        </w:tc>
        <w:tc>
          <w:tcPr>
            <w:tcW w:w="1276"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80</w:t>
            </w:r>
          </w:p>
        </w:tc>
        <w:tc>
          <w:tcPr>
            <w:tcW w:w="1275"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80</w:t>
            </w:r>
          </w:p>
        </w:tc>
        <w:tc>
          <w:tcPr>
            <w:tcW w:w="1134" w:type="dxa"/>
            <w:tcBorders>
              <w:top w:val="nil"/>
              <w:left w:val="nil"/>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r w:rsidR="00E17AF1" w:rsidRPr="00E17AF1" w:rsidTr="00F30835">
        <w:trPr>
          <w:trHeight w:val="300"/>
        </w:trPr>
        <w:tc>
          <w:tcPr>
            <w:tcW w:w="2283" w:type="dxa"/>
            <w:tcBorders>
              <w:top w:val="nil"/>
              <w:left w:val="single" w:sz="8" w:space="0" w:color="auto"/>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5 - 10years</w:t>
            </w:r>
          </w:p>
        </w:tc>
        <w:tc>
          <w:tcPr>
            <w:tcW w:w="1276"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276"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275"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134" w:type="dxa"/>
            <w:tcBorders>
              <w:top w:val="nil"/>
              <w:left w:val="nil"/>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r w:rsidR="00E17AF1" w:rsidRPr="00E17AF1" w:rsidTr="00F30835">
        <w:trPr>
          <w:trHeight w:val="315"/>
        </w:trPr>
        <w:tc>
          <w:tcPr>
            <w:tcW w:w="2283" w:type="dxa"/>
            <w:tcBorders>
              <w:top w:val="nil"/>
              <w:left w:val="single" w:sz="8" w:space="0" w:color="auto"/>
              <w:bottom w:val="single" w:sz="8" w:space="0" w:color="auto"/>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10 years +</w:t>
            </w:r>
          </w:p>
        </w:tc>
        <w:tc>
          <w:tcPr>
            <w:tcW w:w="1276" w:type="dxa"/>
            <w:tcBorders>
              <w:top w:val="nil"/>
              <w:left w:val="single" w:sz="4" w:space="0" w:color="auto"/>
              <w:bottom w:val="single" w:sz="8" w:space="0" w:color="auto"/>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276"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single" w:sz="8" w:space="0" w:color="auto"/>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275"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single" w:sz="8" w:space="0" w:color="auto"/>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134" w:type="dxa"/>
            <w:tcBorders>
              <w:top w:val="nil"/>
              <w:left w:val="nil"/>
              <w:bottom w:val="single" w:sz="8" w:space="0" w:color="auto"/>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bl>
    <w:p w:rsidR="00E17AF1" w:rsidRPr="00E17AF1" w:rsidRDefault="00E17AF1" w:rsidP="00E17AF1">
      <w:pPr>
        <w:ind w:left="180"/>
        <w:rPr>
          <w:rFonts w:eastAsia="Times New Roman" w:cs="Times New Roman"/>
          <w:b/>
        </w:rPr>
      </w:pPr>
    </w:p>
    <w:p w:rsidR="00E17AF1" w:rsidRPr="00E17AF1" w:rsidRDefault="00E17AF1" w:rsidP="00E17AF1">
      <w:pPr>
        <w:ind w:left="180"/>
        <w:rPr>
          <w:rFonts w:eastAsia="Times New Roman" w:cs="Times New Roman"/>
        </w:rPr>
      </w:pPr>
    </w:p>
    <w:p w:rsidR="00E17AF1" w:rsidRPr="00E17AF1" w:rsidRDefault="00E17AF1" w:rsidP="00E17AF1">
      <w:pPr>
        <w:ind w:left="180"/>
        <w:rPr>
          <w:rFonts w:eastAsia="Times New Roman" w:cs="Times New Roman"/>
          <w:b/>
        </w:rPr>
      </w:pPr>
      <w:r w:rsidRPr="00E17AF1">
        <w:rPr>
          <w:rFonts w:eastAsia="Times New Roman" w:cs="Times New Roman"/>
          <w:b/>
        </w:rPr>
        <w:t xml:space="preserve">Table 12:- Upper limit for investments longer than 364 days </w:t>
      </w:r>
    </w:p>
    <w:p w:rsidR="00E17AF1" w:rsidRPr="00E17AF1" w:rsidRDefault="00E17AF1" w:rsidP="00E17AF1">
      <w:pPr>
        <w:ind w:left="180"/>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F30835">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2014/15</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2015/16</w:t>
            </w:r>
          </w:p>
        </w:tc>
        <w:tc>
          <w:tcPr>
            <w:tcW w:w="1340" w:type="dxa"/>
            <w:tcBorders>
              <w:top w:val="single" w:sz="8" w:space="0" w:color="auto"/>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2016/17</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2017/18</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2018/19</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r>
      <w:tr w:rsidR="00E17AF1" w:rsidRPr="00E17AF1" w:rsidTr="00F30835">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F30835">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single" w:sz="4" w:space="0" w:color="auto"/>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single" w:sz="4" w:space="0" w:color="auto"/>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F30835">
        <w:trPr>
          <w:trHeight w:val="885"/>
        </w:trPr>
        <w:tc>
          <w:tcPr>
            <w:tcW w:w="2920" w:type="dxa"/>
            <w:tcBorders>
              <w:top w:val="nil"/>
              <w:left w:val="single" w:sz="8" w:space="0" w:color="auto"/>
              <w:bottom w:val="single" w:sz="8" w:space="0" w:color="auto"/>
              <w:right w:val="single" w:sz="4" w:space="0" w:color="auto"/>
            </w:tcBorders>
            <w:shd w:val="clear" w:color="auto" w:fill="auto"/>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for investments for periods longer than 364 days</w:t>
            </w:r>
          </w:p>
        </w:tc>
        <w:tc>
          <w:tcPr>
            <w:tcW w:w="1340" w:type="dxa"/>
            <w:tcBorders>
              <w:top w:val="nil"/>
              <w:left w:val="nil"/>
              <w:bottom w:val="single" w:sz="8" w:space="0" w:color="auto"/>
              <w:right w:val="nil"/>
            </w:tcBorders>
            <w:shd w:val="clear" w:color="auto" w:fill="auto"/>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25</w:t>
            </w:r>
          </w:p>
        </w:tc>
        <w:tc>
          <w:tcPr>
            <w:tcW w:w="1340" w:type="dxa"/>
            <w:tcBorders>
              <w:top w:val="nil"/>
              <w:left w:val="single" w:sz="4" w:space="0" w:color="auto"/>
              <w:bottom w:val="single" w:sz="8" w:space="0" w:color="auto"/>
              <w:right w:val="nil"/>
            </w:tcBorders>
            <w:shd w:val="clear" w:color="auto" w:fill="auto"/>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25</w:t>
            </w:r>
          </w:p>
        </w:tc>
        <w:tc>
          <w:tcPr>
            <w:tcW w:w="1340" w:type="dxa"/>
            <w:tcBorders>
              <w:top w:val="nil"/>
              <w:left w:val="single" w:sz="4" w:space="0" w:color="auto"/>
              <w:bottom w:val="single" w:sz="8" w:space="0" w:color="auto"/>
              <w:right w:val="single" w:sz="4" w:space="0" w:color="auto"/>
            </w:tcBorders>
            <w:shd w:val="clear" w:color="auto" w:fill="auto"/>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25</w:t>
            </w:r>
          </w:p>
        </w:tc>
        <w:tc>
          <w:tcPr>
            <w:tcW w:w="1340" w:type="dxa"/>
            <w:tcBorders>
              <w:top w:val="nil"/>
              <w:left w:val="nil"/>
              <w:bottom w:val="single" w:sz="8" w:space="0" w:color="auto"/>
              <w:right w:val="nil"/>
            </w:tcBorders>
            <w:shd w:val="clear" w:color="auto" w:fill="auto"/>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25</w:t>
            </w:r>
          </w:p>
        </w:tc>
        <w:tc>
          <w:tcPr>
            <w:tcW w:w="1340" w:type="dxa"/>
            <w:tcBorders>
              <w:top w:val="nil"/>
              <w:left w:val="single" w:sz="4" w:space="0" w:color="auto"/>
              <w:bottom w:val="single" w:sz="8" w:space="0" w:color="auto"/>
              <w:right w:val="single" w:sz="8" w:space="0" w:color="auto"/>
            </w:tcBorders>
            <w:shd w:val="clear" w:color="auto" w:fill="auto"/>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25</w:t>
            </w:r>
          </w:p>
        </w:tc>
      </w:tr>
    </w:tbl>
    <w:p w:rsidR="00E17AF1" w:rsidRPr="00E17AF1" w:rsidRDefault="00E17AF1" w:rsidP="00E17AF1">
      <w:pPr>
        <w:ind w:left="180"/>
        <w:rPr>
          <w:rFonts w:eastAsia="Times New Roman" w:cs="Times New Roman"/>
          <w:b/>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The table above shows the upper limit for principle sums invested for periods longer than 364 days; this indicator is used to reduce the need for early sale of an investment, and is based on the availability of funds after each year end.  This has been set at 25% due to the continuing uncertainty of the market and to reduce the risk posed by longer term investments.</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787717"/>
    <w:multiLevelType w:val="hybridMultilevel"/>
    <w:tmpl w:val="46DE3DB6"/>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1"/>
    <w:rsid w:val="000B4310"/>
    <w:rsid w:val="004000D7"/>
    <w:rsid w:val="00504E43"/>
    <w:rsid w:val="007908F4"/>
    <w:rsid w:val="008A22C6"/>
    <w:rsid w:val="00C07F80"/>
    <w:rsid w:val="00DB12D6"/>
    <w:rsid w:val="00E17AF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B466-BC47-49DF-94BF-7D15144C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5E4EE6A9</Template>
  <TotalTime>1</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dcterms:created xsi:type="dcterms:W3CDTF">2016-01-11T09:11:00Z</dcterms:created>
  <dcterms:modified xsi:type="dcterms:W3CDTF">2016-01-11T09:12:00Z</dcterms:modified>
</cp:coreProperties>
</file>